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38F" w:rsidRPr="009615AB" w:rsidRDefault="007F27E4" w:rsidP="00D2049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9615AB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ХИМИЯ САБАҒЫНДА ЖАСАНДЫ ИНТЕЛЛЕКТІНІ ҚОЛДАНУ ЖОЛ</w:t>
      </w:r>
      <w:bookmarkStart w:id="0" w:name="_GoBack"/>
      <w:bookmarkEnd w:id="0"/>
      <w:r w:rsidRPr="009615AB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ДАРЫ</w:t>
      </w:r>
    </w:p>
    <w:p w:rsidR="00D2049E" w:rsidRPr="0060365B" w:rsidRDefault="007F27E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2049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АТЫ-ЖӨНІ: </w:t>
      </w:r>
      <w:r w:rsidR="009615AB">
        <w:rPr>
          <w:rFonts w:ascii="Times New Roman" w:hAnsi="Times New Roman" w:cs="Times New Roman"/>
          <w:b/>
          <w:sz w:val="28"/>
          <w:szCs w:val="28"/>
          <w:lang w:val="kk-KZ"/>
        </w:rPr>
        <w:t>АБИЛОВА УЛЖАН РЫМГАЛИЕВНА</w:t>
      </w:r>
    </w:p>
    <w:p w:rsidR="002D538F" w:rsidRPr="0060365B" w:rsidRDefault="007F27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0365B">
        <w:rPr>
          <w:rFonts w:ascii="Times New Roman" w:hAnsi="Times New Roman" w:cs="Times New Roman"/>
          <w:b/>
          <w:sz w:val="28"/>
          <w:szCs w:val="28"/>
          <w:lang w:val="kk-KZ"/>
        </w:rPr>
        <w:t>ҚАЛА, ББҰ АТАУЫ:</w:t>
      </w:r>
      <w:r w:rsidRPr="0060365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365B" w:rsidRPr="009615AB">
        <w:rPr>
          <w:rFonts w:ascii="Times New Roman" w:hAnsi="Times New Roman" w:cs="Times New Roman"/>
          <w:b/>
          <w:sz w:val="28"/>
          <w:szCs w:val="28"/>
          <w:lang w:val="kk-KZ"/>
        </w:rPr>
        <w:t>Ұлытау облысы, Жаңаарқа ауданы, «Ынталы жалпы білім беретін мектебі» КММ</w:t>
      </w:r>
    </w:p>
    <w:p w:rsidR="002D538F" w:rsidRPr="0060365B" w:rsidRDefault="007F27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0365B">
        <w:rPr>
          <w:rFonts w:ascii="Times New Roman" w:hAnsi="Times New Roman" w:cs="Times New Roman"/>
          <w:b/>
          <w:sz w:val="28"/>
          <w:szCs w:val="28"/>
          <w:lang w:val="kk-KZ"/>
        </w:rPr>
        <w:t>ЛАУАЗЫМЫ, БІЛІКТІЛІК САНАТЫ</w:t>
      </w:r>
      <w:r w:rsidR="0060365B" w:rsidRPr="0060365B">
        <w:rPr>
          <w:rFonts w:ascii="Times New Roman" w:hAnsi="Times New Roman" w:cs="Times New Roman"/>
          <w:b/>
          <w:sz w:val="28"/>
          <w:szCs w:val="28"/>
          <w:lang w:val="kk-KZ"/>
        </w:rPr>
        <w:t>: Химия пәні мұғалімі, педагог-сарапшы</w:t>
      </w:r>
    </w:p>
    <w:p w:rsidR="00505692" w:rsidRPr="00505692" w:rsidRDefault="00505692" w:rsidP="0060365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АННОТАЦИЯ</w:t>
      </w:r>
    </w:p>
    <w:p w:rsidR="00505692" w:rsidRPr="00505692" w:rsidRDefault="00505692" w:rsidP="0050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Бұл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баяндамада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химия </w:t>
      </w:r>
      <w:proofErr w:type="spellStart"/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әнінде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жасанды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интеллектіні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(ЖИ)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тиімді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қолдану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жолдары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жан-жақты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қарастырылады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ЖИ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технологияларының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үдерісіне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ықпалы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химиялық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процестерді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виртуалды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модельдеу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тәжірибелерді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қауіпсіз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ортада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жүргізу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және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оқушылардың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зерттеушілік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қабілетін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арттырудағы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өлі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талданады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Сонымен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қатар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ЖИ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құралдарын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пайдаланудың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артықшылықтары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мен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кездесетін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қиындықтары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сараланып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практикалық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ұсыныстар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беріледі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Автор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тәж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ірибесінен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алынған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мысалдарды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негізге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ала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отырып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химия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сабақтарында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ЖИ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қолданудың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тиімді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әдістемесін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ұсынады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05692" w:rsidRPr="00505692" w:rsidRDefault="00505692" w:rsidP="0050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Кілт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сөздер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химия,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жасанды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интеллект,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цифрлық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беру,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виртуалды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зертхана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модельдеу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STEM,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білім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беру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технологиялары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05692" w:rsidRPr="00505692" w:rsidRDefault="00505692" w:rsidP="0060365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КІ</w:t>
      </w:r>
      <w:proofErr w:type="gram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</w:t>
      </w:r>
      <w:proofErr w:type="gram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ІСПЕ</w:t>
      </w:r>
    </w:p>
    <w:p w:rsidR="00505692" w:rsidRPr="00505692" w:rsidRDefault="00505692" w:rsidP="0050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XXI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ғасырдың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басты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ерекшеліктерінің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жасанды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интеллектінің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өмірдің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барлық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саласына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енуі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Әлемдік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ғылыми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қауымдастық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ЖИ-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тек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ғылыми-зерттеу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орталықтарында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ғана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емес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күнделікті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тұрмыс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пен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білім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беру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жүйесінде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белсенді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қолдануда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[5].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Жаратылыстану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әндері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ішінде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химия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ғылымы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ерекше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орынға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Себебі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химия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адамзат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өркениетінің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дамуына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тікелей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әсер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ететін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өнеркәсі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spellEnd"/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медицина, экология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сияқты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салалармен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тығыз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байланысты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05692" w:rsidRPr="00505692" w:rsidRDefault="00505692" w:rsidP="0050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Қазақстандық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беру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статистикасы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бойынша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2024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мектептердің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тек 37%-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ында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толық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жабдықталған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химия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зертханалары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бар [4]. </w:t>
      </w:r>
      <w:proofErr w:type="spellStart"/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Бұл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жағдай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мектептерде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тәжірибе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жүргізу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мүмкіндігін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шектейді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ЖИ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технологиялары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бұл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мәселені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шешуге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мүмкіндік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береді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олар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химиялық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процестерді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виртуалды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ортада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жүргізуге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реакцияларды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алдын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ала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болжауға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молекулалардың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құрылымын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3D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форматында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зерттеуге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жағдай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жасайды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[1;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2].</w:t>
      </w:r>
      <w:proofErr w:type="gramEnd"/>
    </w:p>
    <w:p w:rsidR="00505692" w:rsidRPr="00505692" w:rsidRDefault="00505692" w:rsidP="0060365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НЕГІЗГІ БӨЛІМ</w:t>
      </w:r>
    </w:p>
    <w:p w:rsidR="00505692" w:rsidRPr="00505692" w:rsidRDefault="00505692" w:rsidP="005056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1.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Химияда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ЖИ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қолданудың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теориялық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негізі</w:t>
      </w:r>
      <w:proofErr w:type="spellEnd"/>
    </w:p>
    <w:p w:rsidR="00505692" w:rsidRPr="00505692" w:rsidRDefault="00505692" w:rsidP="0050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ЖИ —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бұл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адам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интеллектісінің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кейбі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spellEnd"/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қызметтерін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модельдейтін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компьютерлік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жүйелердің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жиынтығы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Химия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сабақтарында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ЖИ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келесі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ғыттарда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қолданылады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505692" w:rsidRPr="00505692" w:rsidRDefault="00505692" w:rsidP="005056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Виртуалды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зертханалар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50569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Labster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PhET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сияқты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платформалар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арқылы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оқушылар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интерактивті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тәж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ірибелер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жасайды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[1; 3];</w:t>
      </w:r>
    </w:p>
    <w:p w:rsidR="00505692" w:rsidRPr="00505692" w:rsidRDefault="00505692" w:rsidP="005056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Химиялық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формулаларды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автоматты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тану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50569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ChemScanner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MolView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көмегімен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химиялық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қосылыстардың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құрылымын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жылдам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анықтау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[2];</w:t>
      </w:r>
    </w:p>
    <w:p w:rsidR="00505692" w:rsidRPr="00505692" w:rsidRDefault="00505692" w:rsidP="005056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Болжау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алгоритмдері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50569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Predictive</w:t>
      </w:r>
      <w:proofErr w:type="spellEnd"/>
      <w:r w:rsidRPr="0050569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Chemistry</w:t>
      </w:r>
      <w:proofErr w:type="spellEnd"/>
      <w:r w:rsidRPr="0050569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AI</w:t>
      </w:r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арқылы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реакция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өнімдерін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болжау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05692" w:rsidRPr="00505692" w:rsidRDefault="00505692" w:rsidP="0050569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Молекулаларды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3D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модельдеу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күрдел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құрылымды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көрнекі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түрде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көрсету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05692" w:rsidRPr="00505692" w:rsidRDefault="00505692" w:rsidP="0050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Мысалы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Labster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виртуалды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зертханасында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оқушылар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температура мен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концентрацияның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реакция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жылдамдығына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әсерін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интерактивті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түрде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зерттей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алады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Бұл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әдіс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материалының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есте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сақталуын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40–50%-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арттырады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Педагогикалық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зерттеулер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институты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деректері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[1].</w:t>
      </w:r>
      <w:proofErr w:type="gramEnd"/>
    </w:p>
    <w:p w:rsidR="00505692" w:rsidRPr="00505692" w:rsidRDefault="00505692" w:rsidP="005056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2.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Педагогикалық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тәж</w:t>
      </w:r>
      <w:proofErr w:type="gram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ірибеден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мысалдар</w:t>
      </w:r>
      <w:proofErr w:type="spellEnd"/>
    </w:p>
    <w:p w:rsidR="00505692" w:rsidRPr="00505692" w:rsidRDefault="00505692" w:rsidP="0050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тәж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ірибемде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ЖИ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технологияларын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бірнеше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тақырыпта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тиімді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қолдандым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05692" w:rsidRPr="00505692" w:rsidRDefault="00505692" w:rsidP="0050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Бі</w:t>
      </w:r>
      <w:proofErr w:type="gram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</w:t>
      </w:r>
      <w:proofErr w:type="gram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інші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мысал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– «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Химиялық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реакциялардың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жылдамдығы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»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тақырыбы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Бұ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</w:t>
      </w:r>
      <w:proofErr w:type="spellEnd"/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сабақта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мен </w:t>
      </w:r>
      <w:proofErr w:type="spellStart"/>
      <w:r w:rsidRPr="0050569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Labster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виртуалды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зертханасын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пайдаландым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[1]. Платформа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оқушыларға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температура, катализатор, концентрация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сияқты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факторларды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өзгертуге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мүмкіндік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берді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Нәтижесінде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оқушылар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тәжірибеден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кейін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автоматты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түрде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есеп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бұл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олардың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ғылыми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есеп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жүргі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ғдысын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қалыптастырды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05692" w:rsidRPr="00505692" w:rsidRDefault="00505692" w:rsidP="0050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Екінші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мысал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– «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Органикалық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қосылыстар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»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тақырыбы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Мұнда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мен </w:t>
      </w:r>
      <w:proofErr w:type="spellStart"/>
      <w:r w:rsidRPr="0050569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MolView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қосымшасын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қолдандым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[2].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Оқушылар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метан, этан, пропан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молекулаларын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3D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форматта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құрастырды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изомерлерді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салыстырды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Бұ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</w:t>
      </w:r>
      <w:proofErr w:type="spellEnd"/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олардың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молекулалық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құрылымды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елестету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қабілетін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арттырды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05692" w:rsidRPr="00505692" w:rsidRDefault="00505692" w:rsidP="005056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Жалпы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мұндай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тәжірибелер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оқушылардың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зерттеушілі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proofErr w:type="spellEnd"/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дағдыларын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сыни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ойлау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қабілетін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және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цифрлық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сауаттылығын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дамытады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05692" w:rsidRPr="00505692" w:rsidRDefault="00505692" w:rsidP="005056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 xml:space="preserve">3.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Артықшылықтары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мен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шектеулері</w:t>
      </w:r>
      <w:proofErr w:type="spellEnd"/>
    </w:p>
    <w:p w:rsidR="00505692" w:rsidRPr="00505692" w:rsidRDefault="00505692" w:rsidP="0050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Артықшылықтары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505692" w:rsidRPr="00505692" w:rsidRDefault="00505692" w:rsidP="005056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Қауіпсіздік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қауіпті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реактивсіз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тәж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ірибе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05692" w:rsidRPr="00505692" w:rsidRDefault="00505692" w:rsidP="005056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Қолжетімділік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қымбат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зертханалық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құрал-жабдық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қажет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емес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05692" w:rsidRPr="00505692" w:rsidRDefault="00505692" w:rsidP="005056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Дараландыру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оқушы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қарқынымен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жұмыс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істей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алады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05692" w:rsidRPr="00505692" w:rsidRDefault="00505692" w:rsidP="005056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Қызығушылықты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арттыру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ойын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және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интерактив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элементтері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[3].</w:t>
      </w:r>
    </w:p>
    <w:p w:rsidR="00505692" w:rsidRPr="00505692" w:rsidRDefault="00505692" w:rsidP="0050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Шектеулері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</w:p>
    <w:p w:rsidR="00505692" w:rsidRPr="00505692" w:rsidRDefault="00505692" w:rsidP="005056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Кейбі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spellEnd"/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мектептерде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интернет пен компьютер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тапшылығы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05692" w:rsidRPr="00505692" w:rsidRDefault="00505692" w:rsidP="005056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Мұғалімдердің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жаңа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технологияларды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меңгеру</w:t>
      </w:r>
      <w:proofErr w:type="spellEnd"/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қажеттілігі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05692" w:rsidRDefault="00505692" w:rsidP="005056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Көптеген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платформалардың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интерфейс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ағылшын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тілінде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[4].</w:t>
      </w:r>
    </w:p>
    <w:p w:rsidR="00505692" w:rsidRPr="00505692" w:rsidRDefault="00505692" w:rsidP="0050569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4. ЖИ-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ды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тиімді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қолдану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бойынша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әдістемелік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ұсыныстар</w:t>
      </w:r>
      <w:proofErr w:type="spellEnd"/>
    </w:p>
    <w:p w:rsidR="00505692" w:rsidRPr="00505692" w:rsidRDefault="00505692" w:rsidP="005056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Мақ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сат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сай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платформа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таңдау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тәжірибеге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арналған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Labster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формула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тануға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ChemScanner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модельдеуге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MolView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05692" w:rsidRPr="00505692" w:rsidRDefault="00505692" w:rsidP="005056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Алдын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ала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дайындық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оқушыларды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платформаның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құрылымымен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таныстыру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05692" w:rsidRPr="00505692" w:rsidRDefault="00505692" w:rsidP="005056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Нәтижені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талдау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ЖИ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берген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деректерді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мұғаліммен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бірге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сараптау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505692" w:rsidRPr="00505692" w:rsidRDefault="00505692" w:rsidP="0050569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Дә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үрлі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тәжірибемен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салыстыру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виртуалды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нәтижені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нақты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тәжірибемен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байланыстыру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[5].</w:t>
      </w:r>
    </w:p>
    <w:p w:rsidR="00327014" w:rsidRDefault="00505692" w:rsidP="0060365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ҚОРЫТЫНДЫ</w:t>
      </w:r>
    </w:p>
    <w:p w:rsidR="00327014" w:rsidRPr="00327014" w:rsidRDefault="00327014" w:rsidP="0032701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Жасанды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интеллект химия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пәні</w:t>
      </w:r>
      <w:proofErr w:type="gram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proofErr w:type="spellEnd"/>
      <w:proofErr w:type="gram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оқытуда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жаңа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белес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ашады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қауіпсіз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қолжетімді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интерактивті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ортада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білім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алуға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жағдай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жасайды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және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оқушылардың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ғылыми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көзқарасын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кеңейтеді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Дегенмен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ЖИ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құралдарын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тиімді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қолдану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үшін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мұғалімдердің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</w:t>
      </w:r>
      <w:proofErr w:type="gram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Т-</w:t>
      </w:r>
      <w:proofErr w:type="spellStart"/>
      <w:proofErr w:type="gram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құзыреттілігін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арттыру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техникалық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базаны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жақсарту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және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қазақ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тілді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контентті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көбейту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қажет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27014" w:rsidRPr="00327014" w:rsidRDefault="00327014" w:rsidP="0032701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Химияны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оқытуда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ЖИ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қолдану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оқушылардың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</w:t>
      </w:r>
      <w:proofErr w:type="gram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ылым</w:t>
      </w:r>
      <w:proofErr w:type="gram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ға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қызығушылығын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арттырумен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қатар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олардың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кәсіби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бағдарын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да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қалыптастырады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Сонымен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қатар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жасанды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интеллект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арқылы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оқушылар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proofErr w:type="gram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үрделі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химиялық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ұғымдарды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жеңіл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меңгереді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тәжірибелерді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қауіпсіз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ортада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жасайды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және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алған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білімін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өмірмен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байланыстыра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алады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Мұндай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әдістер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оқушылардың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функционалдық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сауаттылығын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зерттеушілік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және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шығармашылық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қабілеттерін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дамыту</w:t>
      </w:r>
      <w:proofErr w:type="gram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ға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мүмкіндік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береді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27014" w:rsidRDefault="00327014" w:rsidP="0032701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ЖИ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технологияларын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дұрыс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бағытта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пайдалану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тек </w:t>
      </w:r>
      <w:proofErr w:type="spellStart"/>
      <w:proofErr w:type="gram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әндік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білім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берудің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сапасын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арттыру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ғана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емес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сонымен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бірге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болашақта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бәсекеге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қабілетті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заманауи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технологияны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еркін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меңгерген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ұрпақты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қалыптастырудың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кепілі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Сондықтан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білім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беру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ұйымдары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мен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педагогтер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ЖИ-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дәстүрлі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оқытумен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ұштастыра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отырып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оқушыларға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инновациялық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</w:t>
      </w:r>
      <w:proofErr w:type="gram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</w:t>
      </w:r>
      <w:proofErr w:type="gram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ім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беру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ортасын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құруды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басты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мақсат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етуі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қажет</w:t>
      </w:r>
      <w:proofErr w:type="spellEnd"/>
      <w:r w:rsidRPr="003270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0365B" w:rsidRPr="0060365B" w:rsidRDefault="0060365B" w:rsidP="006036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Қорытындылай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келе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қазіргі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білім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беру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жүйесінде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жасанды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интеллект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платформаларын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пайдалану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өзекті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бағ</w:t>
      </w:r>
      <w:proofErr w:type="gram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ыт</w:t>
      </w:r>
      <w:proofErr w:type="gram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айналды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Цифрлық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технологиялардың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даму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қарқыны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мен ЖИ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құралдарының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кеңінен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қолданылуы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үдерісін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түбегейлі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өзгертуге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мүмкіндік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береді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Химия </w:t>
      </w:r>
      <w:proofErr w:type="spellStart"/>
      <w:proofErr w:type="gram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әнінде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жасанды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интеллект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платформаларын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қолдану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білім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алушылардың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білім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сапасын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арттыруға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айтарлықтай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үлес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қосады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0365B" w:rsidRPr="00327014" w:rsidRDefault="0060365B" w:rsidP="0060365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ЖИ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құралдары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мұғалімдерге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үдерісін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жан-жақты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бақылап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</w:t>
      </w:r>
      <w:proofErr w:type="gram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spellEnd"/>
      <w:proofErr w:type="gram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оқушының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жеке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ерекшеліктеріне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сәйкес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оқыту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стратегияларын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жетілдіруге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септігін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тигізеді.Осылайша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жасанды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интеллект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платформаларын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химия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пәнінде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қолдану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білім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сапасын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арттыру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мен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жетістіктерді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жоғарылатудың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тиімді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құралы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болып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табылады</w:t>
      </w:r>
      <w:proofErr w:type="spellEnd"/>
      <w:r w:rsidRPr="0060365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05692" w:rsidRDefault="00505692" w:rsidP="005056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505692" w:rsidRPr="00505692" w:rsidRDefault="00505692" w:rsidP="005056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Пайдаланылған</w:t>
      </w:r>
      <w:proofErr w:type="spellEnd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әдебиеттер</w:t>
      </w:r>
      <w:proofErr w:type="spellEnd"/>
    </w:p>
    <w:p w:rsidR="00505692" w:rsidRPr="00505692" w:rsidRDefault="00505692" w:rsidP="005056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Labster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Labster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Virtual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Labs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Электронды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ресурс]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лжетімділік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тәртібі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hyperlink r:id="rId9" w:tgtFrame="_new" w:history="1">
        <w:r w:rsidRPr="005056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https://www.labster.com</w:t>
        </w:r>
      </w:hyperlink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Қаралған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күні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17.08.2025).</w:t>
      </w:r>
    </w:p>
    <w:p w:rsidR="00505692" w:rsidRPr="00505692" w:rsidRDefault="00505692" w:rsidP="005056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MolView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Online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Molecular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Modeling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Электронды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ресурс]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лжетімділік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тәртібі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hyperlink r:id="rId10" w:tgtFrame="_new" w:history="1">
        <w:r w:rsidRPr="005056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https://molview.org</w:t>
        </w:r>
      </w:hyperlink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Қаралған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күні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17.08.2025).</w:t>
      </w:r>
    </w:p>
    <w:p w:rsidR="00505692" w:rsidRPr="00505692" w:rsidRDefault="00505692" w:rsidP="005056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>PhET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Interactive Simulations. University of Colorado Boulder [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Электронды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ресурс</w:t>
      </w:r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–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Қолжетімділік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тәртібі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1" w:tgtFrame="_new" w:history="1">
        <w:r w:rsidRPr="0050569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https://phet.colorado.edu</w:t>
        </w:r>
      </w:hyperlink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Қаралған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күні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>: 17.08.2025).</w:t>
      </w:r>
    </w:p>
    <w:p w:rsidR="00505692" w:rsidRPr="00505692" w:rsidRDefault="00505692" w:rsidP="005056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Қ</w:t>
      </w:r>
      <w:proofErr w:type="gram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Оқу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ағарту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министрлігі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Білім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берудегі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жасанды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интеллект</w:t>
      </w:r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әдістемелік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нұсқаулық</w:t>
      </w:r>
      <w:proofErr w:type="spellEnd"/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Астана</w:t>
      </w:r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2024. – 56 </w:t>
      </w:r>
      <w:r w:rsidRPr="0050569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</w:t>
      </w:r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5692" w:rsidRPr="00505692" w:rsidRDefault="00505692" w:rsidP="0050569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692">
        <w:rPr>
          <w:rFonts w:ascii="Times New Roman" w:eastAsia="Times New Roman" w:hAnsi="Times New Roman" w:cs="Times New Roman"/>
          <w:sz w:val="28"/>
          <w:szCs w:val="28"/>
          <w:lang w:eastAsia="ru-RU"/>
        </w:rPr>
        <w:t>Zhang Y., Lee T. Artificial Intelligence in Science Education. – Cham: Springer, 2023. – 214 p.</w:t>
      </w:r>
    </w:p>
    <w:p w:rsidR="002D538F" w:rsidRPr="00505692" w:rsidRDefault="002D538F" w:rsidP="00505692">
      <w:pPr>
        <w:rPr>
          <w:rFonts w:ascii="Times New Roman" w:hAnsi="Times New Roman" w:cs="Times New Roman"/>
          <w:sz w:val="28"/>
          <w:szCs w:val="28"/>
        </w:rPr>
      </w:pPr>
    </w:p>
    <w:sectPr w:rsidR="002D538F" w:rsidRPr="00505692" w:rsidSect="000006B5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F5C" w:rsidRDefault="00101F5C" w:rsidP="00D2049E">
      <w:pPr>
        <w:spacing w:after="0" w:line="240" w:lineRule="auto"/>
      </w:pPr>
      <w:r>
        <w:separator/>
      </w:r>
    </w:p>
  </w:endnote>
  <w:endnote w:type="continuationSeparator" w:id="0">
    <w:p w:rsidR="00101F5C" w:rsidRDefault="00101F5C" w:rsidP="00D2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F5C" w:rsidRDefault="00101F5C" w:rsidP="00D2049E">
      <w:pPr>
        <w:spacing w:after="0" w:line="240" w:lineRule="auto"/>
      </w:pPr>
      <w:r>
        <w:separator/>
      </w:r>
    </w:p>
  </w:footnote>
  <w:footnote w:type="continuationSeparator" w:id="0">
    <w:p w:rsidR="00101F5C" w:rsidRDefault="00101F5C" w:rsidP="00D2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0E043CF"/>
    <w:multiLevelType w:val="multilevel"/>
    <w:tmpl w:val="551E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0F322A"/>
    <w:multiLevelType w:val="multilevel"/>
    <w:tmpl w:val="7DFEE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1632CE"/>
    <w:multiLevelType w:val="multilevel"/>
    <w:tmpl w:val="A8DC9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1F5FF5"/>
    <w:multiLevelType w:val="multilevel"/>
    <w:tmpl w:val="1A7C7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3D3424"/>
    <w:multiLevelType w:val="multilevel"/>
    <w:tmpl w:val="EE26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F61226"/>
    <w:multiLevelType w:val="hybridMultilevel"/>
    <w:tmpl w:val="EBEC6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06B5"/>
    <w:rsid w:val="00034616"/>
    <w:rsid w:val="00037FBE"/>
    <w:rsid w:val="0006063C"/>
    <w:rsid w:val="00101F5C"/>
    <w:rsid w:val="0015074B"/>
    <w:rsid w:val="0029639D"/>
    <w:rsid w:val="002D538F"/>
    <w:rsid w:val="00326F90"/>
    <w:rsid w:val="00327014"/>
    <w:rsid w:val="00505692"/>
    <w:rsid w:val="0060365B"/>
    <w:rsid w:val="007F27E4"/>
    <w:rsid w:val="009615AB"/>
    <w:rsid w:val="00AA1D8D"/>
    <w:rsid w:val="00B47730"/>
    <w:rsid w:val="00CB0664"/>
    <w:rsid w:val="00D20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het.colorado.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olview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ab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B074A2-6E27-43DF-AE15-29A9829E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6875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DeLUX</cp:lastModifiedBy>
  <cp:revision>3</cp:revision>
  <dcterms:created xsi:type="dcterms:W3CDTF">2025-08-16T19:09:00Z</dcterms:created>
  <dcterms:modified xsi:type="dcterms:W3CDTF">2025-08-19T09:39:00Z</dcterms:modified>
</cp:coreProperties>
</file>